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3B" w:rsidRDefault="005C623B" w:rsidP="005C623B">
      <w:pPr>
        <w:jc w:val="right"/>
        <w:rPr>
          <w:rFonts w:cstheme="minorHAnsi"/>
          <w:b/>
          <w:sz w:val="24"/>
          <w:szCs w:val="24"/>
          <w:u w:val="single"/>
        </w:rPr>
      </w:pPr>
      <w:bookmarkStart w:id="0" w:name="_GoBack"/>
      <w:r w:rsidRPr="006028D9">
        <w:rPr>
          <w:rFonts w:cstheme="minorHAnsi"/>
          <w:b/>
          <w:sz w:val="24"/>
          <w:szCs w:val="24"/>
          <w:u w:val="single"/>
        </w:rPr>
        <w:t>Passmore, Sarah (</w:t>
      </w:r>
      <w:r>
        <w:rPr>
          <w:rFonts w:cstheme="minorHAnsi"/>
          <w:b/>
          <w:sz w:val="24"/>
          <w:szCs w:val="24"/>
          <w:u w:val="single"/>
        </w:rPr>
        <w:t>PS1-C</w:t>
      </w:r>
      <w:r w:rsidRPr="006028D9">
        <w:rPr>
          <w:rFonts w:cstheme="minorHAnsi"/>
          <w:b/>
          <w:sz w:val="24"/>
          <w:szCs w:val="24"/>
          <w:u w:val="single"/>
        </w:rPr>
        <w:t>)</w:t>
      </w:r>
    </w:p>
    <w:bookmarkEnd w:id="0"/>
    <w:p w:rsidR="005C623B" w:rsidRDefault="005C623B" w:rsidP="005C623B">
      <w:pPr>
        <w:spacing w:line="480" w:lineRule="auto"/>
        <w:jc w:val="center"/>
        <w:rPr>
          <w:rFonts w:cs="Times New Roman"/>
          <w:b/>
          <w:bCs/>
          <w:sz w:val="24"/>
          <w:szCs w:val="24"/>
        </w:rPr>
      </w:pPr>
      <w:r w:rsidRPr="006028D9">
        <w:rPr>
          <w:rStyle w:val="Hyperlink"/>
          <w:b/>
          <w:color w:val="auto"/>
          <w:sz w:val="24"/>
          <w:szCs w:val="24"/>
          <w:u w:val="none"/>
        </w:rPr>
        <w:t>The Relationship between Ho</w:t>
      </w:r>
      <w:r w:rsidRPr="006028D9">
        <w:rPr>
          <w:b/>
          <w:sz w:val="24"/>
          <w:szCs w:val="24"/>
        </w:rPr>
        <w:t>pe, Meaning in Work, Secondary Traumatic Stress</w:t>
      </w:r>
      <w:r>
        <w:rPr>
          <w:b/>
          <w:sz w:val="24"/>
          <w:szCs w:val="24"/>
        </w:rPr>
        <w:t xml:space="preserve"> </w:t>
      </w:r>
      <w:r w:rsidRPr="006028D9">
        <w:rPr>
          <w:rFonts w:cs="Times New Roman"/>
          <w:b/>
          <w:bCs/>
          <w:sz w:val="24"/>
          <w:szCs w:val="24"/>
        </w:rPr>
        <w:t xml:space="preserve">and Burnout </w:t>
      </w:r>
      <w:proofErr w:type="gramStart"/>
      <w:r>
        <w:rPr>
          <w:rFonts w:cs="Times New Roman"/>
          <w:b/>
          <w:bCs/>
          <w:sz w:val="24"/>
          <w:szCs w:val="24"/>
        </w:rPr>
        <w:t>A</w:t>
      </w:r>
      <w:r w:rsidRPr="006028D9">
        <w:rPr>
          <w:rFonts w:cs="Times New Roman"/>
          <w:b/>
          <w:bCs/>
          <w:sz w:val="24"/>
          <w:szCs w:val="24"/>
        </w:rPr>
        <w:t>mong</w:t>
      </w:r>
      <w:proofErr w:type="gramEnd"/>
      <w:r w:rsidRPr="006028D9">
        <w:rPr>
          <w:rFonts w:cs="Times New Roman"/>
          <w:b/>
          <w:bCs/>
          <w:sz w:val="24"/>
          <w:szCs w:val="24"/>
        </w:rPr>
        <w:t xml:space="preserve"> Child Abuse Pediatric Clinicians</w:t>
      </w:r>
    </w:p>
    <w:p w:rsidR="005C623B" w:rsidRPr="00930A99" w:rsidRDefault="005C623B" w:rsidP="005C623B">
      <w:pPr>
        <w:jc w:val="right"/>
        <w:rPr>
          <w:sz w:val="24"/>
          <w:szCs w:val="24"/>
        </w:rPr>
      </w:pPr>
      <w:r w:rsidRPr="00930A99">
        <w:rPr>
          <w:sz w:val="24"/>
          <w:szCs w:val="24"/>
        </w:rPr>
        <w:t xml:space="preserve">Child abuse pediatricians (CAPs) continuously encounter trauma experienced by abused children, putting them at risk for secondary traumatic stress, a syndrome with symptoms similar to post-traumatic stress disorder.  The current study examines the relationship between secondary trauma, hope, meaningful work, and burnout.  Participants were sent a link to a web-based survey consisting of the Oldenburg Burnout Inventory, the Secondary Traumatic Stress (STS) Scale, the Dispositional Hope Scale, and the Work as Meaning Inventory via the </w:t>
      </w:r>
      <w:proofErr w:type="spellStart"/>
      <w:r w:rsidRPr="00930A99">
        <w:rPr>
          <w:sz w:val="24"/>
          <w:szCs w:val="24"/>
        </w:rPr>
        <w:t>Helfer</w:t>
      </w:r>
      <w:proofErr w:type="spellEnd"/>
      <w:r w:rsidRPr="00930A99">
        <w:rPr>
          <w:sz w:val="24"/>
          <w:szCs w:val="24"/>
        </w:rPr>
        <w:t xml:space="preserve"> and Special Interest Group on Child Abuse for Medical Professionals </w:t>
      </w:r>
      <w:proofErr w:type="spellStart"/>
      <w:r w:rsidRPr="00930A99">
        <w:rPr>
          <w:sz w:val="24"/>
          <w:szCs w:val="24"/>
        </w:rPr>
        <w:t>Listservs</w:t>
      </w:r>
      <w:proofErr w:type="spellEnd"/>
      <w:r w:rsidRPr="00930A99">
        <w:rPr>
          <w:sz w:val="24"/>
          <w:szCs w:val="24"/>
        </w:rPr>
        <w:t xml:space="preserve">.  Correlational analyses showed strong positive associations between the secondary trauma and burnout [R2 = .465; F (3,140) = 40.64; p = .000].  Hope and meaning in work demonstrated negatively moderate associations with STS and burnout [R2 = .073, p = .000].  A national sample of CAPs shows that STS is associated with burnout.  Work meaning and hope can mitigate these effects. </w:t>
      </w:r>
    </w:p>
    <w:p w:rsidR="005C623B" w:rsidRPr="00930A99" w:rsidRDefault="005C623B" w:rsidP="005C623B">
      <w:pPr>
        <w:spacing w:line="480" w:lineRule="auto"/>
        <w:contextualSpacing/>
        <w:jc w:val="right"/>
        <w:rPr>
          <w:sz w:val="24"/>
          <w:szCs w:val="24"/>
        </w:rPr>
      </w:pPr>
      <w:r w:rsidRPr="00930A99">
        <w:rPr>
          <w:sz w:val="24"/>
          <w:szCs w:val="24"/>
        </w:rPr>
        <w:t>Keywords: child abuse, burnout, secondary trauma, hope, work meaning, pediatricians</w:t>
      </w:r>
    </w:p>
    <w:p w:rsidR="005C623B" w:rsidRPr="00930A99" w:rsidRDefault="005C623B" w:rsidP="005C623B">
      <w:pPr>
        <w:pStyle w:val="Default"/>
        <w:rPr>
          <w:rFonts w:asciiTheme="minorHAnsi" w:hAnsiTheme="minorHAnsi" w:cs="Times New Roman"/>
          <w:color w:val="auto"/>
          <w:sz w:val="24"/>
          <w:szCs w:val="24"/>
          <w:vertAlign w:val="superscript"/>
        </w:rPr>
      </w:pPr>
      <w:r w:rsidRPr="00930A99">
        <w:rPr>
          <w:rFonts w:asciiTheme="minorHAnsi" w:hAnsiTheme="minorHAnsi" w:cs="Times New Roman"/>
          <w:bCs/>
          <w:color w:val="auto"/>
          <w:sz w:val="24"/>
          <w:szCs w:val="24"/>
        </w:rPr>
        <w:t xml:space="preserve">Sarah </w:t>
      </w:r>
      <w:proofErr w:type="spellStart"/>
      <w:r w:rsidRPr="00930A99">
        <w:rPr>
          <w:rFonts w:asciiTheme="minorHAnsi" w:hAnsiTheme="minorHAnsi" w:cs="Times New Roman"/>
          <w:bCs/>
          <w:color w:val="auto"/>
          <w:sz w:val="24"/>
          <w:szCs w:val="24"/>
        </w:rPr>
        <w:t>Passmore</w:t>
      </w:r>
      <w:r w:rsidRPr="00930A99">
        <w:rPr>
          <w:rFonts w:asciiTheme="minorHAnsi" w:hAnsiTheme="minorHAnsi" w:cs="Times New Roman"/>
          <w:bCs/>
          <w:color w:val="auto"/>
          <w:sz w:val="24"/>
          <w:szCs w:val="24"/>
          <w:vertAlign w:val="superscript"/>
        </w:rPr>
        <w:t>a</w:t>
      </w:r>
      <w:proofErr w:type="spellEnd"/>
      <w:r w:rsidRPr="00930A99">
        <w:rPr>
          <w:rFonts w:asciiTheme="minorHAnsi" w:hAnsiTheme="minorHAnsi" w:cs="Times New Roman"/>
          <w:bCs/>
          <w:color w:val="auto"/>
          <w:sz w:val="24"/>
          <w:szCs w:val="24"/>
        </w:rPr>
        <w:t>,</w:t>
      </w:r>
      <w:r w:rsidRPr="00930A99">
        <w:rPr>
          <w:rFonts w:asciiTheme="minorHAnsi" w:hAnsiTheme="minorHAnsi" w:cs="Times New Roman"/>
          <w:color w:val="auto"/>
          <w:sz w:val="24"/>
          <w:szCs w:val="24"/>
          <w:vertAlign w:val="superscript"/>
        </w:rPr>
        <w:t xml:space="preserve"> </w:t>
      </w:r>
      <w:r w:rsidRPr="00930A99">
        <w:rPr>
          <w:rFonts w:asciiTheme="minorHAnsi" w:hAnsiTheme="minorHAnsi" w:cs="Times New Roman"/>
          <w:bCs/>
          <w:color w:val="auto"/>
          <w:sz w:val="24"/>
          <w:szCs w:val="24"/>
        </w:rPr>
        <w:t xml:space="preserve">DO, Eden </w:t>
      </w:r>
      <w:proofErr w:type="spellStart"/>
      <w:r w:rsidRPr="00930A99">
        <w:rPr>
          <w:rFonts w:asciiTheme="minorHAnsi" w:hAnsiTheme="minorHAnsi" w:cs="Times New Roman"/>
          <w:bCs/>
          <w:color w:val="auto"/>
          <w:sz w:val="24"/>
          <w:szCs w:val="24"/>
        </w:rPr>
        <w:t>Hemming</w:t>
      </w:r>
      <w:r w:rsidRPr="00930A99">
        <w:rPr>
          <w:rFonts w:asciiTheme="minorHAnsi" w:hAnsiTheme="minorHAnsi" w:cs="Times New Roman"/>
          <w:bCs/>
          <w:color w:val="auto"/>
          <w:sz w:val="24"/>
          <w:szCs w:val="24"/>
          <w:vertAlign w:val="superscript"/>
        </w:rPr>
        <w:t>a</w:t>
      </w:r>
      <w:proofErr w:type="spellEnd"/>
      <w:r w:rsidRPr="00930A99">
        <w:rPr>
          <w:rFonts w:asciiTheme="minorHAnsi" w:hAnsiTheme="minorHAnsi" w:cs="Times New Roman"/>
          <w:bCs/>
          <w:color w:val="auto"/>
          <w:sz w:val="24"/>
          <w:szCs w:val="24"/>
        </w:rPr>
        <w:t xml:space="preserve">, MA, Heather Chancellor </w:t>
      </w:r>
      <w:proofErr w:type="spellStart"/>
      <w:r w:rsidRPr="00930A99">
        <w:rPr>
          <w:rFonts w:asciiTheme="minorHAnsi" w:hAnsiTheme="minorHAnsi" w:cs="Times New Roman"/>
          <w:bCs/>
          <w:color w:val="auto"/>
          <w:sz w:val="24"/>
          <w:szCs w:val="24"/>
        </w:rPr>
        <w:t>McIntosh</w:t>
      </w:r>
      <w:r w:rsidRPr="00930A99">
        <w:rPr>
          <w:rFonts w:asciiTheme="minorHAnsi" w:hAnsiTheme="minorHAnsi" w:cs="Times New Roman"/>
          <w:bCs/>
          <w:color w:val="auto"/>
          <w:sz w:val="24"/>
          <w:szCs w:val="24"/>
          <w:vertAlign w:val="superscript"/>
        </w:rPr>
        <w:t>b</w:t>
      </w:r>
      <w:proofErr w:type="spellEnd"/>
      <w:r w:rsidRPr="00930A99">
        <w:rPr>
          <w:rFonts w:asciiTheme="minorHAnsi" w:hAnsiTheme="minorHAnsi" w:cs="Times New Roman"/>
          <w:bCs/>
          <w:color w:val="auto"/>
          <w:sz w:val="24"/>
          <w:szCs w:val="24"/>
        </w:rPr>
        <w:t xml:space="preserve">, MS, CRA, Chan M. </w:t>
      </w:r>
      <w:proofErr w:type="spellStart"/>
      <w:r w:rsidRPr="00930A99">
        <w:rPr>
          <w:rFonts w:asciiTheme="minorHAnsi" w:hAnsiTheme="minorHAnsi" w:cs="Times New Roman"/>
          <w:bCs/>
          <w:color w:val="auto"/>
          <w:sz w:val="24"/>
          <w:szCs w:val="24"/>
        </w:rPr>
        <w:t>Hellman</w:t>
      </w:r>
      <w:r w:rsidRPr="00930A99">
        <w:rPr>
          <w:rFonts w:asciiTheme="minorHAnsi" w:hAnsiTheme="minorHAnsi" w:cs="Times New Roman"/>
          <w:bCs/>
          <w:color w:val="auto"/>
          <w:sz w:val="24"/>
          <w:szCs w:val="24"/>
          <w:vertAlign w:val="superscript"/>
        </w:rPr>
        <w:t>c</w:t>
      </w:r>
      <w:proofErr w:type="spellEnd"/>
      <w:r w:rsidRPr="00930A99">
        <w:rPr>
          <w:rFonts w:asciiTheme="minorHAnsi" w:hAnsiTheme="minorHAnsi" w:cs="Times New Roman"/>
          <w:bCs/>
          <w:color w:val="auto"/>
          <w:sz w:val="24"/>
          <w:szCs w:val="24"/>
        </w:rPr>
        <w:t>, PhD</w:t>
      </w:r>
    </w:p>
    <w:p w:rsidR="005C623B" w:rsidRPr="00930A99" w:rsidRDefault="005C623B" w:rsidP="005C623B">
      <w:pPr>
        <w:pStyle w:val="Default"/>
        <w:rPr>
          <w:rFonts w:asciiTheme="minorHAnsi" w:hAnsiTheme="minorHAnsi" w:cs="Times New Roman"/>
          <w:bCs/>
          <w:color w:val="auto"/>
          <w:sz w:val="24"/>
          <w:szCs w:val="24"/>
        </w:rPr>
      </w:pPr>
    </w:p>
    <w:p w:rsidR="005C623B" w:rsidRPr="00930A99" w:rsidRDefault="005C623B" w:rsidP="005C623B">
      <w:pPr>
        <w:pStyle w:val="Default"/>
        <w:tabs>
          <w:tab w:val="left" w:pos="345"/>
        </w:tabs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30A99">
        <w:rPr>
          <w:rStyle w:val="Hyperlink"/>
          <w:rFonts w:asciiTheme="minorHAnsi" w:hAnsiTheme="minorHAnsi"/>
          <w:color w:val="auto"/>
          <w:sz w:val="24"/>
          <w:szCs w:val="24"/>
          <w:u w:val="none"/>
          <w:vertAlign w:val="superscript"/>
        </w:rPr>
        <w:t>a</w:t>
      </w:r>
      <w:r w:rsidRPr="00930A99">
        <w:rPr>
          <w:rFonts w:asciiTheme="minorHAnsi" w:hAnsiTheme="minorHAnsi" w:cs="Times New Roman"/>
          <w:bCs/>
          <w:color w:val="auto"/>
          <w:sz w:val="24"/>
          <w:szCs w:val="24"/>
        </w:rPr>
        <w:t xml:space="preserve"> Department of Pediatrics, University of Oklahoma School of Community Medicine, Tulsa, OK</w:t>
      </w:r>
    </w:p>
    <w:p w:rsidR="005C623B" w:rsidRPr="00930A99" w:rsidRDefault="005C623B" w:rsidP="005C623B">
      <w:pPr>
        <w:pStyle w:val="Default"/>
        <w:tabs>
          <w:tab w:val="left" w:pos="345"/>
        </w:tabs>
        <w:rPr>
          <w:rFonts w:asciiTheme="minorHAnsi" w:hAnsiTheme="minorHAnsi" w:cs="Times New Roman"/>
          <w:bCs/>
          <w:color w:val="auto"/>
          <w:sz w:val="24"/>
          <w:szCs w:val="24"/>
        </w:rPr>
      </w:pPr>
      <w:proofErr w:type="gramStart"/>
      <w:r w:rsidRPr="00930A99">
        <w:rPr>
          <w:rFonts w:asciiTheme="minorHAnsi" w:hAnsiTheme="minorHAnsi" w:cs="Times New Roman"/>
          <w:bCs/>
          <w:color w:val="auto"/>
          <w:sz w:val="24"/>
          <w:szCs w:val="24"/>
          <w:vertAlign w:val="superscript"/>
        </w:rPr>
        <w:t>b</w:t>
      </w:r>
      <w:proofErr w:type="gramEnd"/>
      <w:r w:rsidRPr="00930A99">
        <w:rPr>
          <w:rFonts w:asciiTheme="minorHAnsi" w:hAnsiTheme="minorHAnsi" w:cs="Times New Roman"/>
          <w:bCs/>
          <w:color w:val="auto"/>
          <w:sz w:val="24"/>
          <w:szCs w:val="24"/>
        </w:rPr>
        <w:t xml:space="preserve"> Office for Research Development and Scholarly Activity, University of Oklahoma School of Community Medicine, Tulsa, OK </w:t>
      </w:r>
    </w:p>
    <w:p w:rsidR="005C623B" w:rsidRPr="00930A99" w:rsidRDefault="005C623B" w:rsidP="005C623B">
      <w:pPr>
        <w:pStyle w:val="Default"/>
        <w:tabs>
          <w:tab w:val="left" w:pos="345"/>
        </w:tabs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30A99">
        <w:rPr>
          <w:rFonts w:asciiTheme="minorHAnsi" w:hAnsiTheme="minorHAnsi" w:cs="Times New Roman"/>
          <w:bCs/>
          <w:color w:val="auto"/>
          <w:sz w:val="24"/>
          <w:szCs w:val="24"/>
          <w:vertAlign w:val="superscript"/>
        </w:rPr>
        <w:t xml:space="preserve">c </w:t>
      </w:r>
      <w:r w:rsidRPr="00930A99">
        <w:rPr>
          <w:rFonts w:asciiTheme="minorHAnsi" w:hAnsiTheme="minorHAnsi" w:cs="Times New Roman"/>
          <w:bCs/>
          <w:color w:val="auto"/>
          <w:sz w:val="24"/>
          <w:szCs w:val="24"/>
        </w:rPr>
        <w:t xml:space="preserve">Anne and Henry </w:t>
      </w:r>
      <w:proofErr w:type="spellStart"/>
      <w:r w:rsidRPr="00930A99">
        <w:rPr>
          <w:rFonts w:asciiTheme="minorHAnsi" w:hAnsiTheme="minorHAnsi" w:cs="Times New Roman"/>
          <w:bCs/>
          <w:color w:val="auto"/>
          <w:sz w:val="24"/>
          <w:szCs w:val="24"/>
        </w:rPr>
        <w:t>Zarrow</w:t>
      </w:r>
      <w:proofErr w:type="spellEnd"/>
      <w:r w:rsidRPr="00930A99">
        <w:rPr>
          <w:rFonts w:asciiTheme="minorHAnsi" w:hAnsiTheme="minorHAnsi" w:cs="Times New Roman"/>
          <w:bCs/>
          <w:color w:val="auto"/>
          <w:sz w:val="24"/>
          <w:szCs w:val="24"/>
        </w:rPr>
        <w:t xml:space="preserve"> School of Social Work, College of Arts and Sciences, University of Oklahoma, Norman, OK</w:t>
      </w:r>
    </w:p>
    <w:p w:rsidR="00C34C11" w:rsidRPr="005C623B" w:rsidRDefault="005C623B"/>
    <w:sectPr w:rsidR="00C34C11" w:rsidRPr="005C623B" w:rsidSect="00ED5C3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3B"/>
    <w:rsid w:val="005C623B"/>
    <w:rsid w:val="00C46F95"/>
    <w:rsid w:val="00E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3B"/>
    <w:pPr>
      <w:bidi/>
      <w:spacing w:after="160" w:line="252" w:lineRule="auto"/>
      <w:jc w:val="both"/>
    </w:pPr>
    <w:rPr>
      <w:rFonts w:eastAsiaTheme="minorEastAs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C623B"/>
    <w:rPr>
      <w:color w:val="0000FF" w:themeColor="hyperlink"/>
      <w:u w:val="single"/>
    </w:rPr>
  </w:style>
  <w:style w:type="paragraph" w:customStyle="1" w:styleId="Default">
    <w:name w:val="Default"/>
    <w:rsid w:val="005C62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3B"/>
    <w:pPr>
      <w:bidi/>
      <w:spacing w:after="160" w:line="252" w:lineRule="auto"/>
      <w:jc w:val="both"/>
    </w:pPr>
    <w:rPr>
      <w:rFonts w:eastAsiaTheme="minorEastAs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C623B"/>
    <w:rPr>
      <w:color w:val="0000FF" w:themeColor="hyperlink"/>
      <w:u w:val="single"/>
    </w:rPr>
  </w:style>
  <w:style w:type="paragraph" w:customStyle="1" w:styleId="Default">
    <w:name w:val="Default"/>
    <w:rsid w:val="005C62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Yaffa Tsionit</dc:creator>
  <cp:lastModifiedBy>Yaffa Tsionit</cp:lastModifiedBy>
  <cp:revision>1</cp:revision>
  <dcterms:created xsi:type="dcterms:W3CDTF">2019-04-11T11:31:00Z</dcterms:created>
  <dcterms:modified xsi:type="dcterms:W3CDTF">2019-04-11T11:32:00Z</dcterms:modified>
</cp:coreProperties>
</file>